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72E" w:rsidRPr="00612C71" w:rsidRDefault="00E1472E" w:rsidP="00E1472E">
      <w:pPr>
        <w:pStyle w:val="NoSpacing"/>
        <w:jc w:val="right"/>
        <w:rPr>
          <w:rFonts w:ascii="Times New Roman" w:hAnsi="Times New Roman"/>
          <w:b/>
          <w:sz w:val="24"/>
          <w:szCs w:val="24"/>
          <w:lang w:val="ro-RO"/>
        </w:rPr>
      </w:pPr>
      <w:r w:rsidRPr="00612C71">
        <w:rPr>
          <w:rFonts w:ascii="Times New Roman" w:hAnsi="Times New Roman"/>
          <w:b/>
          <w:sz w:val="24"/>
          <w:szCs w:val="24"/>
          <w:lang w:val="ro-RO"/>
        </w:rPr>
        <w:t xml:space="preserve">Anexa nr.2  </w:t>
      </w:r>
    </w:p>
    <w:p w:rsidR="00E1472E" w:rsidRPr="00612C71" w:rsidRDefault="00E1472E" w:rsidP="00E1472E">
      <w:pPr>
        <w:pStyle w:val="NoSpacing"/>
        <w:jc w:val="right"/>
        <w:rPr>
          <w:rFonts w:ascii="Times New Roman" w:hAnsi="Times New Roman"/>
          <w:b/>
          <w:sz w:val="24"/>
          <w:szCs w:val="24"/>
          <w:lang w:val="ro-RO"/>
        </w:rPr>
      </w:pPr>
      <w:r w:rsidRPr="00612C71">
        <w:rPr>
          <w:rFonts w:ascii="Times New Roman" w:hAnsi="Times New Roman"/>
          <w:b/>
          <w:sz w:val="24"/>
          <w:szCs w:val="24"/>
          <w:lang w:val="ro-RO"/>
        </w:rPr>
        <w:t xml:space="preserve">la Hotărârea C.N.P.F. </w:t>
      </w:r>
    </w:p>
    <w:p w:rsidR="00E1472E" w:rsidRPr="00612C71" w:rsidRDefault="00E1472E" w:rsidP="00E1472E">
      <w:pPr>
        <w:pStyle w:val="NoSpacing"/>
        <w:jc w:val="right"/>
        <w:rPr>
          <w:rFonts w:ascii="Times New Roman" w:hAnsi="Times New Roman"/>
          <w:sz w:val="24"/>
          <w:szCs w:val="24"/>
          <w:lang w:val="ro-RO"/>
        </w:rPr>
      </w:pPr>
      <w:r w:rsidRPr="00612C71">
        <w:rPr>
          <w:rFonts w:ascii="Times New Roman" w:hAnsi="Times New Roman"/>
          <w:b/>
          <w:sz w:val="24"/>
          <w:szCs w:val="24"/>
          <w:lang w:val="ro-RO"/>
        </w:rPr>
        <w:t>nr.57/13 din 28.12.2018</w:t>
      </w:r>
    </w:p>
    <w:p w:rsidR="00E1472E" w:rsidRPr="00612C71" w:rsidRDefault="00E1472E" w:rsidP="00E1472E">
      <w:pPr>
        <w:pStyle w:val="NoSpacing"/>
        <w:jc w:val="right"/>
        <w:rPr>
          <w:rFonts w:ascii="Times New Roman" w:hAnsi="Times New Roman"/>
          <w:sz w:val="24"/>
          <w:szCs w:val="24"/>
          <w:lang w:val="ro-RO"/>
        </w:rPr>
      </w:pPr>
    </w:p>
    <w:p w:rsidR="00E1472E" w:rsidRPr="00612C71" w:rsidRDefault="00E1472E" w:rsidP="00E1472E">
      <w:pPr>
        <w:jc w:val="center"/>
        <w:rPr>
          <w:b/>
          <w:szCs w:val="24"/>
        </w:rPr>
      </w:pPr>
      <w:r w:rsidRPr="00612C71">
        <w:rPr>
          <w:b/>
          <w:szCs w:val="24"/>
        </w:rPr>
        <w:t>Contul de garantare pentru asigurarea obligatorie</w:t>
      </w:r>
    </w:p>
    <w:p w:rsidR="00E1472E" w:rsidRPr="00612C71" w:rsidRDefault="00E1472E" w:rsidP="00E1472E">
      <w:pPr>
        <w:jc w:val="center"/>
        <w:rPr>
          <w:b/>
          <w:szCs w:val="24"/>
        </w:rPr>
      </w:pPr>
      <w:r w:rsidRPr="00612C71">
        <w:rPr>
          <w:b/>
          <w:szCs w:val="24"/>
        </w:rPr>
        <w:t xml:space="preserve"> de răspundere civilă auto internă (RCA)</w:t>
      </w:r>
    </w:p>
    <w:p w:rsidR="00E1472E" w:rsidRPr="00612C71" w:rsidRDefault="00E1472E" w:rsidP="00E1472E">
      <w:pPr>
        <w:pStyle w:val="ListParagraph"/>
        <w:numPr>
          <w:ilvl w:val="0"/>
          <w:numId w:val="1"/>
        </w:numPr>
        <w:tabs>
          <w:tab w:val="left" w:pos="-284"/>
          <w:tab w:val="left" w:pos="284"/>
        </w:tabs>
        <w:spacing w:line="240" w:lineRule="auto"/>
        <w:ind w:left="0" w:firstLine="0"/>
        <w:jc w:val="both"/>
        <w:rPr>
          <w:rFonts w:ascii="Times New Roman" w:hAnsi="Times New Roman"/>
          <w:sz w:val="24"/>
          <w:szCs w:val="24"/>
          <w:lang w:val="ro-RO"/>
        </w:rPr>
      </w:pPr>
      <w:r w:rsidRPr="00612C71">
        <w:rPr>
          <w:rFonts w:ascii="Times New Roman" w:hAnsi="Times New Roman"/>
          <w:sz w:val="24"/>
          <w:szCs w:val="24"/>
          <w:lang w:val="ro-RO"/>
        </w:rPr>
        <w:t xml:space="preserve">Contul de garantare pentru asigurările de răspundere civilă auto internă (Contul de garantare pentru RCA) se constituie în scopul achitării despăgubirilor de asigurare aferente exclusiv asigurării obligatorii de răspundere civilă auto internă în scopul diminuării riscului ce ține de lichiditățile asigurătorului, precum și în cazurile de capacitate redusă sau incapacitate de plată a acestuia. </w:t>
      </w:r>
    </w:p>
    <w:p w:rsidR="00E1472E" w:rsidRPr="00612C71" w:rsidRDefault="00E1472E" w:rsidP="00E1472E">
      <w:pPr>
        <w:pStyle w:val="ListParagraph"/>
        <w:numPr>
          <w:ilvl w:val="0"/>
          <w:numId w:val="1"/>
        </w:numPr>
        <w:tabs>
          <w:tab w:val="left" w:pos="284"/>
          <w:tab w:val="left" w:pos="567"/>
        </w:tabs>
        <w:spacing w:line="240" w:lineRule="auto"/>
        <w:ind w:left="0" w:firstLine="0"/>
        <w:jc w:val="both"/>
        <w:rPr>
          <w:rFonts w:ascii="Times New Roman" w:hAnsi="Times New Roman"/>
          <w:sz w:val="24"/>
          <w:szCs w:val="24"/>
          <w:lang w:val="ro-RO"/>
        </w:rPr>
      </w:pPr>
      <w:r w:rsidRPr="00612C71">
        <w:rPr>
          <w:rFonts w:ascii="Times New Roman" w:hAnsi="Times New Roman"/>
          <w:sz w:val="24"/>
          <w:szCs w:val="24"/>
          <w:lang w:val="ro-RO"/>
        </w:rPr>
        <w:t xml:space="preserve">Valoarea Contului de garantare pentru RCA se calculează lunar, în mărime de 10% din primele brute subscrise pentru luna precedentă pentru asigurările RCA, și se cumulează timp de 12 luni din data calculării. </w:t>
      </w:r>
    </w:p>
    <w:p w:rsidR="00E1472E" w:rsidRPr="00612C71" w:rsidRDefault="00E1472E" w:rsidP="00E1472E">
      <w:pPr>
        <w:pStyle w:val="ListParagraph"/>
        <w:numPr>
          <w:ilvl w:val="0"/>
          <w:numId w:val="1"/>
        </w:numPr>
        <w:tabs>
          <w:tab w:val="left" w:pos="284"/>
          <w:tab w:val="left" w:pos="567"/>
        </w:tabs>
        <w:spacing w:line="240" w:lineRule="auto"/>
        <w:ind w:left="0" w:firstLine="0"/>
        <w:jc w:val="both"/>
        <w:rPr>
          <w:rFonts w:ascii="Times New Roman" w:hAnsi="Times New Roman"/>
          <w:sz w:val="24"/>
          <w:szCs w:val="24"/>
          <w:lang w:val="ro-RO"/>
        </w:rPr>
      </w:pPr>
      <w:r w:rsidRPr="00612C71">
        <w:rPr>
          <w:rFonts w:ascii="Times New Roman" w:hAnsi="Times New Roman"/>
          <w:sz w:val="24"/>
          <w:szCs w:val="24"/>
          <w:lang w:val="ro-RO"/>
        </w:rPr>
        <w:t>După 12 luni, mărimea Contului de garantare pentru RCA se actualizează lunar reieșind din riscurile aferente primelor subscrise și despăgubirilor plătite pe parcursul lunii curente, potrivit următoarei relații:</w:t>
      </w:r>
    </w:p>
    <w:p w:rsidR="00E1472E" w:rsidRPr="00612C71" w:rsidRDefault="00E1472E" w:rsidP="00E1472E">
      <w:pPr>
        <w:tabs>
          <w:tab w:val="left" w:pos="567"/>
        </w:tabs>
        <w:jc w:val="center"/>
        <w:rPr>
          <w:szCs w:val="24"/>
        </w:rPr>
      </w:pPr>
      <w:r w:rsidRPr="00612C71">
        <w:rPr>
          <w:szCs w:val="24"/>
        </w:rPr>
        <w:t>CG</w:t>
      </w:r>
      <w:r w:rsidRPr="00612C71">
        <w:rPr>
          <w:i/>
          <w:iCs/>
          <w:szCs w:val="24"/>
          <w:vertAlign w:val="subscript"/>
        </w:rPr>
        <w:t>sf.lunii</w:t>
      </w:r>
      <w:r w:rsidRPr="00612C71">
        <w:rPr>
          <w:szCs w:val="24"/>
        </w:rPr>
        <w:t xml:space="preserve"> = CG</w:t>
      </w:r>
      <w:r w:rsidRPr="00612C71">
        <w:rPr>
          <w:i/>
          <w:iCs/>
          <w:szCs w:val="24"/>
          <w:vertAlign w:val="subscript"/>
        </w:rPr>
        <w:t xml:space="preserve">înc.lunii </w:t>
      </w:r>
      <w:r w:rsidRPr="00612C71">
        <w:rPr>
          <w:szCs w:val="24"/>
        </w:rPr>
        <w:t>+ CG</w:t>
      </w:r>
      <w:r w:rsidRPr="00612C71">
        <w:rPr>
          <w:i/>
          <w:iCs/>
          <w:szCs w:val="24"/>
          <w:vertAlign w:val="subscript"/>
        </w:rPr>
        <w:t xml:space="preserve">luna curentă </w:t>
      </w:r>
      <w:r w:rsidRPr="00612C71">
        <w:rPr>
          <w:szCs w:val="24"/>
        </w:rPr>
        <w:t>– MIN</w:t>
      </w:r>
      <m:oMath>
        <m:d>
          <m:dPr>
            <m:begChr m:val="{"/>
            <m:endChr m:val="}"/>
            <m:ctrlPr>
              <w:rPr>
                <w:rFonts w:ascii="Cambria Math" w:hAnsi="Cambria Math"/>
                <w:i/>
                <w:szCs w:val="24"/>
              </w:rPr>
            </m:ctrlPr>
          </m:dPr>
          <m:e>
            <m:eqArr>
              <m:eqArrPr>
                <m:ctrlPr>
                  <w:rPr>
                    <w:rFonts w:ascii="Cambria Math" w:hAnsi="Cambria Math"/>
                    <w:szCs w:val="24"/>
                    <w:vertAlign w:val="superscript"/>
                  </w:rPr>
                </m:ctrlPr>
              </m:eqArrPr>
              <m:e>
                <m:r>
                  <m:rPr>
                    <m:sty m:val="p"/>
                  </m:rPr>
                  <w:rPr>
                    <w:rFonts w:ascii="Cambria Math"/>
                    <w:szCs w:val="24"/>
                    <w:vertAlign w:val="superscript"/>
                  </w:rPr>
                  <m:t>CG</m:t>
                </m:r>
                <m:r>
                  <w:rPr>
                    <w:rFonts w:ascii="Cambria Math"/>
                    <w:szCs w:val="24"/>
                    <w:vertAlign w:val="superscript"/>
                  </w:rPr>
                  <m:t xml:space="preserve"> </m:t>
                </m:r>
                <m:r>
                  <w:rPr>
                    <w:rFonts w:ascii="Cambria Math" w:hAnsi="Cambria Math"/>
                    <w:szCs w:val="24"/>
                    <w:vertAlign w:val="superscript"/>
                  </w:rPr>
                  <m:t>an</m:t>
                </m:r>
                <m:r>
                  <w:rPr>
                    <w:rFonts w:ascii="Cambria Math"/>
                    <w:szCs w:val="24"/>
                    <w:vertAlign w:val="superscript"/>
                  </w:rPr>
                  <m:t xml:space="preserve"> </m:t>
                </m:r>
                <m:r>
                  <w:rPr>
                    <w:rFonts w:ascii="Cambria Math" w:hAnsi="Cambria Math"/>
                    <w:szCs w:val="24"/>
                    <w:vertAlign w:val="superscript"/>
                  </w:rPr>
                  <m:t>precedent</m:t>
                </m:r>
                <m:r>
                  <w:rPr>
                    <w:rFonts w:ascii="Cambria Math"/>
                    <w:szCs w:val="24"/>
                    <w:vertAlign w:val="superscript"/>
                  </w:rPr>
                  <m:t>,</m:t>
                </m:r>
                <m:ctrlPr>
                  <w:rPr>
                    <w:rFonts w:ascii="Cambria Math" w:hAnsi="Cambria Math"/>
                    <w:i/>
                    <w:iCs/>
                    <w:szCs w:val="24"/>
                    <w:vertAlign w:val="superscript"/>
                  </w:rPr>
                </m:ctrlPr>
              </m:e>
              <m:e>
                <m:r>
                  <m:rPr>
                    <m:sty m:val="p"/>
                  </m:rPr>
                  <w:rPr>
                    <w:rFonts w:ascii="Cambria Math"/>
                    <w:szCs w:val="24"/>
                  </w:rPr>
                  <m:t xml:space="preserve"> </m:t>
                </m:r>
                <m:r>
                  <m:rPr>
                    <m:sty m:val="p"/>
                  </m:rPr>
                  <w:rPr>
                    <w:rFonts w:ascii="Cambria Math"/>
                    <w:szCs w:val="24"/>
                    <w:vertAlign w:val="superscript"/>
                  </w:rPr>
                  <m:t xml:space="preserve">DA </m:t>
                </m:r>
                <m:r>
                  <w:rPr>
                    <w:rFonts w:ascii="Cambria Math" w:hAnsi="Cambria Math"/>
                    <w:szCs w:val="24"/>
                    <w:vertAlign w:val="superscript"/>
                  </w:rPr>
                  <m:t>luna</m:t>
                </m:r>
                <m:r>
                  <w:rPr>
                    <w:rFonts w:ascii="Cambria Math"/>
                    <w:szCs w:val="24"/>
                    <w:vertAlign w:val="superscript"/>
                  </w:rPr>
                  <m:t xml:space="preserve"> </m:t>
                </m:r>
                <m:r>
                  <w:rPr>
                    <w:rFonts w:ascii="Cambria Math" w:hAnsi="Cambria Math"/>
                    <w:szCs w:val="24"/>
                    <w:vertAlign w:val="superscript"/>
                  </w:rPr>
                  <m:t>curent</m:t>
                </m:r>
                <m:r>
                  <w:rPr>
                    <w:rFonts w:ascii="Cambria Math"/>
                    <w:szCs w:val="24"/>
                    <w:vertAlign w:val="superscript"/>
                  </w:rPr>
                  <m:t>ă</m:t>
                </m:r>
                <m:ctrlPr>
                  <w:rPr>
                    <w:rFonts w:ascii="Cambria Math" w:hAnsi="Cambria Math"/>
                    <w:i/>
                    <w:iCs/>
                    <w:szCs w:val="24"/>
                    <w:vertAlign w:val="superscript"/>
                  </w:rPr>
                </m:ctrlPr>
              </m:e>
            </m:eqArr>
          </m:e>
        </m:d>
      </m:oMath>
    </w:p>
    <w:p w:rsidR="00E1472E" w:rsidRPr="00612C71" w:rsidRDefault="00E1472E" w:rsidP="00E1472E">
      <w:pPr>
        <w:tabs>
          <w:tab w:val="left" w:pos="567"/>
        </w:tabs>
        <w:jc w:val="center"/>
        <w:rPr>
          <w:szCs w:val="24"/>
          <w:vertAlign w:val="superscript"/>
        </w:rPr>
      </w:pPr>
      <w:r w:rsidRPr="00612C71">
        <w:rPr>
          <w:szCs w:val="24"/>
        </w:rPr>
        <w:t xml:space="preserve">                                                               </w:t>
      </w:r>
    </w:p>
    <w:p w:rsidR="00E1472E" w:rsidRPr="00612C71" w:rsidRDefault="00E1472E" w:rsidP="00E1472E">
      <w:pPr>
        <w:tabs>
          <w:tab w:val="left" w:pos="567"/>
        </w:tabs>
        <w:jc w:val="both"/>
        <w:rPr>
          <w:szCs w:val="24"/>
        </w:rPr>
      </w:pPr>
      <w:r w:rsidRPr="00612C71">
        <w:rPr>
          <w:szCs w:val="24"/>
        </w:rPr>
        <w:t xml:space="preserve">unde: </w:t>
      </w:r>
    </w:p>
    <w:p w:rsidR="00E1472E" w:rsidRPr="00612C71" w:rsidRDefault="00E1472E" w:rsidP="00E1472E">
      <w:pPr>
        <w:tabs>
          <w:tab w:val="left" w:pos="567"/>
        </w:tabs>
        <w:jc w:val="both"/>
        <w:rPr>
          <w:i/>
          <w:szCs w:val="24"/>
        </w:rPr>
      </w:pPr>
      <w:r w:rsidRPr="00612C71">
        <w:rPr>
          <w:i/>
          <w:szCs w:val="24"/>
        </w:rPr>
        <w:t>CG</w:t>
      </w:r>
      <w:r w:rsidRPr="00612C71">
        <w:rPr>
          <w:i/>
          <w:iCs/>
          <w:szCs w:val="24"/>
          <w:vertAlign w:val="subscript"/>
        </w:rPr>
        <w:t xml:space="preserve">sf.lunii </w:t>
      </w:r>
      <w:r w:rsidRPr="00612C71">
        <w:rPr>
          <w:i/>
          <w:szCs w:val="24"/>
        </w:rPr>
        <w:t>– Contul de garantare actualizat la sfârșitul lunii curente;</w:t>
      </w:r>
    </w:p>
    <w:p w:rsidR="00E1472E" w:rsidRPr="00612C71" w:rsidRDefault="00E1472E" w:rsidP="00E1472E">
      <w:pPr>
        <w:tabs>
          <w:tab w:val="left" w:pos="0"/>
        </w:tabs>
        <w:jc w:val="both"/>
        <w:rPr>
          <w:i/>
          <w:szCs w:val="24"/>
        </w:rPr>
      </w:pPr>
      <w:r w:rsidRPr="00612C71">
        <w:rPr>
          <w:i/>
          <w:szCs w:val="24"/>
        </w:rPr>
        <w:t>CG</w:t>
      </w:r>
      <w:r w:rsidRPr="00612C71">
        <w:rPr>
          <w:i/>
          <w:iCs/>
          <w:szCs w:val="24"/>
          <w:vertAlign w:val="subscript"/>
        </w:rPr>
        <w:t>înc.lunii</w:t>
      </w:r>
      <w:r w:rsidRPr="00612C71">
        <w:rPr>
          <w:i/>
          <w:szCs w:val="24"/>
        </w:rPr>
        <w:t xml:space="preserve"> – Contul de garantare la începutul lunii curente sau soldul Contului de garantare cumulat;</w:t>
      </w:r>
    </w:p>
    <w:p w:rsidR="00E1472E" w:rsidRPr="00612C71" w:rsidRDefault="00E1472E" w:rsidP="00E1472E">
      <w:pPr>
        <w:tabs>
          <w:tab w:val="left" w:pos="567"/>
        </w:tabs>
        <w:jc w:val="both"/>
        <w:rPr>
          <w:i/>
          <w:szCs w:val="24"/>
        </w:rPr>
      </w:pPr>
      <w:r w:rsidRPr="00612C71">
        <w:rPr>
          <w:i/>
          <w:szCs w:val="24"/>
        </w:rPr>
        <w:t>CG</w:t>
      </w:r>
      <w:r w:rsidRPr="00612C71">
        <w:rPr>
          <w:i/>
          <w:iCs/>
          <w:szCs w:val="24"/>
          <w:vertAlign w:val="subscript"/>
        </w:rPr>
        <w:t xml:space="preserve">luna curentă </w:t>
      </w:r>
      <w:r w:rsidRPr="00612C71">
        <w:rPr>
          <w:i/>
          <w:szCs w:val="24"/>
        </w:rPr>
        <w:t>– Contul de garantare pentru luna curentă, care se determină ca procent din primele brute subscrise pentru RCA pentru luna curentă;</w:t>
      </w:r>
    </w:p>
    <w:p w:rsidR="00E1472E" w:rsidRPr="00612C71" w:rsidRDefault="00E1472E" w:rsidP="00E1472E">
      <w:pPr>
        <w:tabs>
          <w:tab w:val="left" w:pos="567"/>
        </w:tabs>
        <w:jc w:val="both"/>
        <w:rPr>
          <w:i/>
          <w:szCs w:val="24"/>
        </w:rPr>
      </w:pPr>
      <w:r w:rsidRPr="00612C71">
        <w:rPr>
          <w:i/>
          <w:szCs w:val="24"/>
        </w:rPr>
        <w:t>CG</w:t>
      </w:r>
      <w:r w:rsidRPr="00612C71">
        <w:rPr>
          <w:i/>
          <w:iCs/>
          <w:szCs w:val="24"/>
          <w:vertAlign w:val="subscript"/>
        </w:rPr>
        <w:t xml:space="preserve"> an precedent </w:t>
      </w:r>
      <w:r w:rsidRPr="00612C71">
        <w:rPr>
          <w:i/>
          <w:szCs w:val="24"/>
        </w:rPr>
        <w:t>– Contul de garantare aferent aceleiași luni din anul precedent;</w:t>
      </w:r>
    </w:p>
    <w:p w:rsidR="00E1472E" w:rsidRPr="00612C71" w:rsidRDefault="00E1472E" w:rsidP="00E1472E">
      <w:pPr>
        <w:tabs>
          <w:tab w:val="left" w:pos="567"/>
        </w:tabs>
        <w:jc w:val="both"/>
        <w:rPr>
          <w:szCs w:val="24"/>
        </w:rPr>
      </w:pPr>
      <w:r w:rsidRPr="00612C71">
        <w:rPr>
          <w:i/>
          <w:szCs w:val="24"/>
        </w:rPr>
        <w:t>DA</w:t>
      </w:r>
      <w:r w:rsidRPr="00612C71">
        <w:rPr>
          <w:i/>
          <w:iCs/>
          <w:szCs w:val="24"/>
          <w:vertAlign w:val="subscript"/>
        </w:rPr>
        <w:t xml:space="preserve">luna curentă </w:t>
      </w:r>
      <w:r w:rsidRPr="00612C71">
        <w:rPr>
          <w:i/>
          <w:szCs w:val="24"/>
        </w:rPr>
        <w:t>– Despăgubirile de asigurare plătite pe parcursul lunii curente</w:t>
      </w:r>
      <w:r w:rsidRPr="00612C71">
        <w:rPr>
          <w:szCs w:val="24"/>
        </w:rPr>
        <w:t>.</w:t>
      </w:r>
    </w:p>
    <w:p w:rsidR="00E1472E" w:rsidRPr="00612C71" w:rsidRDefault="00E1472E" w:rsidP="00E1472E">
      <w:pPr>
        <w:tabs>
          <w:tab w:val="left" w:pos="567"/>
        </w:tabs>
        <w:jc w:val="both"/>
        <w:rPr>
          <w:szCs w:val="24"/>
        </w:rPr>
      </w:pPr>
    </w:p>
    <w:p w:rsidR="00E1472E" w:rsidRPr="00612C71" w:rsidRDefault="00E1472E" w:rsidP="00E1472E">
      <w:pPr>
        <w:pStyle w:val="ListParagraph"/>
        <w:numPr>
          <w:ilvl w:val="0"/>
          <w:numId w:val="1"/>
        </w:numPr>
        <w:tabs>
          <w:tab w:val="left" w:pos="284"/>
        </w:tabs>
        <w:spacing w:line="240" w:lineRule="auto"/>
        <w:ind w:left="0" w:firstLine="0"/>
        <w:jc w:val="both"/>
        <w:rPr>
          <w:rFonts w:ascii="Times New Roman" w:hAnsi="Times New Roman"/>
          <w:sz w:val="24"/>
          <w:szCs w:val="24"/>
          <w:lang w:val="ro-RO"/>
        </w:rPr>
      </w:pPr>
      <w:r w:rsidRPr="00612C71">
        <w:rPr>
          <w:rFonts w:ascii="Times New Roman" w:hAnsi="Times New Roman"/>
          <w:sz w:val="24"/>
          <w:szCs w:val="24"/>
          <w:lang w:val="ro-RO"/>
        </w:rPr>
        <w:t>Contul de garantare pentru RCA la sfârșitul lunii nu poate fi mai mic decât 90% din Contul de garantare la începutul lunii, indiferent de rezultatele obținute.</w:t>
      </w:r>
      <w:r w:rsidRPr="00612C71">
        <w:rPr>
          <w:rFonts w:ascii="Times New Roman" w:hAnsi="Times New Roman"/>
          <w:sz w:val="24"/>
          <w:szCs w:val="24"/>
          <w:lang w:val="ro-RO"/>
        </w:rPr>
        <w:tab/>
      </w:r>
    </w:p>
    <w:p w:rsidR="00E1472E" w:rsidRPr="00612C71" w:rsidRDefault="00E1472E" w:rsidP="00E1472E">
      <w:pPr>
        <w:pStyle w:val="ListParagraph"/>
        <w:numPr>
          <w:ilvl w:val="0"/>
          <w:numId w:val="1"/>
        </w:numPr>
        <w:tabs>
          <w:tab w:val="left" w:pos="284"/>
          <w:tab w:val="left" w:pos="567"/>
        </w:tabs>
        <w:spacing w:line="240" w:lineRule="auto"/>
        <w:ind w:left="0" w:firstLine="0"/>
        <w:jc w:val="both"/>
        <w:rPr>
          <w:rFonts w:ascii="Times New Roman" w:hAnsi="Times New Roman"/>
          <w:sz w:val="24"/>
          <w:szCs w:val="24"/>
          <w:lang w:val="ro-RO"/>
        </w:rPr>
      </w:pPr>
      <w:r w:rsidRPr="00612C71">
        <w:rPr>
          <w:rFonts w:ascii="Times New Roman" w:hAnsi="Times New Roman"/>
          <w:sz w:val="24"/>
          <w:szCs w:val="24"/>
          <w:lang w:val="ro-RO"/>
        </w:rPr>
        <w:t xml:space="preserve">Utilizarea mijloacelor din Contul de garantare pentru RCA se va efectua cu coordonarea prealabilă a autorității de supraveghere cu cel puțin 15 zile lucrătoare până la aprobarea deciziei în acest sens.  </w:t>
      </w:r>
    </w:p>
    <w:p w:rsidR="00E1472E" w:rsidRPr="00612C71" w:rsidRDefault="00E1472E" w:rsidP="00E1472E">
      <w:pPr>
        <w:pStyle w:val="ListParagraph"/>
        <w:numPr>
          <w:ilvl w:val="0"/>
          <w:numId w:val="1"/>
        </w:numPr>
        <w:tabs>
          <w:tab w:val="left" w:pos="284"/>
        </w:tabs>
        <w:spacing w:line="240" w:lineRule="auto"/>
        <w:ind w:left="0" w:firstLine="0"/>
        <w:jc w:val="both"/>
        <w:rPr>
          <w:rFonts w:ascii="Times New Roman" w:hAnsi="Times New Roman"/>
          <w:sz w:val="24"/>
          <w:szCs w:val="24"/>
          <w:lang w:val="ro-RO"/>
        </w:rPr>
      </w:pPr>
      <w:r w:rsidRPr="00612C71">
        <w:rPr>
          <w:rFonts w:ascii="Times New Roman" w:hAnsi="Times New Roman"/>
          <w:sz w:val="24"/>
          <w:szCs w:val="24"/>
          <w:lang w:val="ro-RO"/>
        </w:rPr>
        <w:t>Asigurătorul (reasigurătorul) care desfășoară activitatea de asigurare RCA este obligat să dețină un cont bancar separat (curent sau de depozit), în instituțiile financiare licențiate de Banca Națională a Moldovei, care va fi alimentat din sursele contului de garantare pentru RCA, destinat în exclusivitate achitării despăgubirilor de asigurare RCA.</w:t>
      </w:r>
    </w:p>
    <w:p w:rsidR="00E1472E" w:rsidRPr="00612C71" w:rsidRDefault="00E1472E" w:rsidP="00E1472E">
      <w:pPr>
        <w:pStyle w:val="ListParagraph"/>
        <w:numPr>
          <w:ilvl w:val="0"/>
          <w:numId w:val="1"/>
        </w:numPr>
        <w:tabs>
          <w:tab w:val="left" w:pos="284"/>
        </w:tabs>
        <w:spacing w:line="240" w:lineRule="auto"/>
        <w:ind w:left="0" w:firstLine="0"/>
        <w:jc w:val="both"/>
        <w:rPr>
          <w:rFonts w:ascii="Times New Roman" w:hAnsi="Times New Roman"/>
          <w:sz w:val="24"/>
          <w:szCs w:val="24"/>
          <w:lang w:val="ro-RO"/>
        </w:rPr>
      </w:pPr>
      <w:r w:rsidRPr="00612C71">
        <w:rPr>
          <w:rFonts w:ascii="Times New Roman" w:hAnsi="Times New Roman"/>
          <w:sz w:val="24"/>
          <w:szCs w:val="24"/>
          <w:lang w:val="ro-RO"/>
        </w:rPr>
        <w:t>Contul de garantare pentru RCA și extrasul bancar al acestuia se raportează autorității de supraveghere lunar, până la data de 20 a lunii următoare perioadei de raportare conform actelor normative.</w:t>
      </w:r>
    </w:p>
    <w:p w:rsidR="00E1472E" w:rsidRPr="00612C71" w:rsidRDefault="00E1472E" w:rsidP="00E1472E">
      <w:pPr>
        <w:pStyle w:val="ListParagraph"/>
        <w:numPr>
          <w:ilvl w:val="0"/>
          <w:numId w:val="1"/>
        </w:numPr>
        <w:tabs>
          <w:tab w:val="left" w:pos="284"/>
        </w:tabs>
        <w:spacing w:line="240" w:lineRule="auto"/>
        <w:ind w:left="0" w:firstLine="0"/>
        <w:jc w:val="both"/>
        <w:rPr>
          <w:rFonts w:ascii="Times New Roman" w:hAnsi="Times New Roman"/>
          <w:sz w:val="24"/>
          <w:szCs w:val="24"/>
          <w:lang w:val="ro-RO"/>
        </w:rPr>
      </w:pPr>
      <w:r w:rsidRPr="00612C71">
        <w:rPr>
          <w:rFonts w:ascii="Times New Roman" w:hAnsi="Times New Roman"/>
          <w:sz w:val="24"/>
          <w:szCs w:val="24"/>
          <w:lang w:val="ro-RO"/>
        </w:rPr>
        <w:t xml:space="preserve">Autoritatea de supraveghere monitorizează formarea Contului de garantare pentru RCA în contrapartidă cu rulajul contului bancar. </w:t>
      </w:r>
    </w:p>
    <w:p w:rsidR="00E1472E" w:rsidRPr="00197E07" w:rsidRDefault="00E1472E" w:rsidP="00E1472E">
      <w:pPr>
        <w:pStyle w:val="ListParagraph"/>
        <w:numPr>
          <w:ilvl w:val="0"/>
          <w:numId w:val="1"/>
        </w:numPr>
        <w:tabs>
          <w:tab w:val="left" w:pos="284"/>
        </w:tabs>
        <w:spacing w:line="240" w:lineRule="auto"/>
        <w:ind w:left="0" w:firstLine="0"/>
        <w:jc w:val="both"/>
        <w:rPr>
          <w:rFonts w:ascii="Times New Roman" w:hAnsi="Times New Roman"/>
          <w:sz w:val="24"/>
          <w:szCs w:val="24"/>
          <w:lang w:val="ro-RO"/>
        </w:rPr>
      </w:pPr>
      <w:r w:rsidRPr="00612C71">
        <w:rPr>
          <w:rFonts w:ascii="Times New Roman" w:hAnsi="Times New Roman"/>
          <w:sz w:val="24"/>
          <w:szCs w:val="24"/>
          <w:lang w:val="ro-RO"/>
        </w:rPr>
        <w:t>În cazul nerespectării prevederilor anexei nr.2, autoritatea de supraveghere va aplica măsuri de rigoare conform legislației.</w:t>
      </w:r>
    </w:p>
    <w:p w:rsidR="00E1472E" w:rsidRPr="00612C71" w:rsidRDefault="00E1472E" w:rsidP="00E1472E">
      <w:pPr>
        <w:jc w:val="both"/>
        <w:rPr>
          <w:b/>
          <w:szCs w:val="24"/>
        </w:rPr>
      </w:pPr>
    </w:p>
    <w:p w:rsidR="00E1472E" w:rsidRPr="006714DB" w:rsidRDefault="00E1472E" w:rsidP="00E1472E">
      <w:pPr>
        <w:pStyle w:val="ListParagraph"/>
        <w:tabs>
          <w:tab w:val="left" w:pos="916"/>
          <w:tab w:val="left" w:pos="1832"/>
          <w:tab w:val="left" w:pos="2748"/>
          <w:tab w:val="left" w:pos="3664"/>
          <w:tab w:val="left" w:pos="4580"/>
          <w:tab w:val="left" w:pos="5496"/>
          <w:tab w:val="left" w:pos="6412"/>
          <w:tab w:val="left" w:pos="7328"/>
          <w:tab w:val="left" w:pos="9090"/>
          <w:tab w:val="left" w:pos="9160"/>
          <w:tab w:val="left" w:pos="10206"/>
          <w:tab w:val="left" w:pos="10348"/>
          <w:tab w:val="left" w:pos="11908"/>
          <w:tab w:val="left" w:pos="12824"/>
          <w:tab w:val="left" w:pos="13740"/>
          <w:tab w:val="left" w:pos="14656"/>
        </w:tabs>
        <w:spacing w:line="240" w:lineRule="auto"/>
        <w:jc w:val="center"/>
        <w:rPr>
          <w:rFonts w:ascii="Times New Roman" w:hAnsi="Times New Roman"/>
          <w:sz w:val="24"/>
          <w:szCs w:val="24"/>
          <w:lang w:val="en-US"/>
        </w:rPr>
      </w:pPr>
    </w:p>
    <w:p w:rsidR="00B00B24" w:rsidRPr="00E1472E" w:rsidRDefault="00B00B24">
      <w:pPr>
        <w:rPr>
          <w:lang w:val="en-US"/>
        </w:rPr>
      </w:pPr>
    </w:p>
    <w:sectPr w:rsidR="00B00B24" w:rsidRPr="00E1472E" w:rsidSect="00E1472E">
      <w:pgSz w:w="11906" w:h="16838"/>
      <w:pgMar w:top="709"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A3327"/>
    <w:multiLevelType w:val="hybridMultilevel"/>
    <w:tmpl w:val="79122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E1472E"/>
    <w:rsid w:val="001B5B88"/>
    <w:rsid w:val="00590B64"/>
    <w:rsid w:val="00B00B24"/>
    <w:rsid w:val="00E1472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72E"/>
    <w:pPr>
      <w:spacing w:after="0" w:line="240" w:lineRule="auto"/>
    </w:pPr>
    <w:rPr>
      <w:rFonts w:ascii="Times New Roman" w:eastAsia="Times New Roman" w:hAnsi="Times New Roman" w:cs="Times New Roman"/>
      <w:sz w:val="24"/>
      <w:szCs w:val="20"/>
      <w:lang w:val="ro-RO"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472E"/>
    <w:pPr>
      <w:spacing w:after="200" w:line="276" w:lineRule="auto"/>
      <w:ind w:left="720"/>
      <w:contextualSpacing/>
    </w:pPr>
    <w:rPr>
      <w:rFonts w:ascii="Calibri" w:eastAsia="Calibri" w:hAnsi="Calibri"/>
      <w:sz w:val="22"/>
      <w:szCs w:val="22"/>
      <w:lang w:val="ru-RU" w:eastAsia="en-US"/>
    </w:rPr>
  </w:style>
  <w:style w:type="paragraph" w:styleId="NoSpacing">
    <w:name w:val="No Spacing"/>
    <w:uiPriority w:val="1"/>
    <w:qFormat/>
    <w:rsid w:val="00E1472E"/>
    <w:pPr>
      <w:spacing w:after="0" w:line="240" w:lineRule="auto"/>
    </w:pPr>
    <w:rPr>
      <w:rFonts w:ascii="Calibri" w:eastAsia="Calibri" w:hAnsi="Calibri" w:cs="Times New Roman"/>
      <w:lang w:val="ru-RU"/>
    </w:rPr>
  </w:style>
  <w:style w:type="paragraph" w:styleId="BalloonText">
    <w:name w:val="Balloon Text"/>
    <w:basedOn w:val="Normal"/>
    <w:link w:val="BalloonTextChar"/>
    <w:uiPriority w:val="99"/>
    <w:semiHidden/>
    <w:unhideWhenUsed/>
    <w:rsid w:val="00E1472E"/>
    <w:rPr>
      <w:rFonts w:ascii="Tahoma" w:hAnsi="Tahoma" w:cs="Tahoma"/>
      <w:sz w:val="16"/>
      <w:szCs w:val="16"/>
    </w:rPr>
  </w:style>
  <w:style w:type="character" w:customStyle="1" w:styleId="BalloonTextChar">
    <w:name w:val="Balloon Text Char"/>
    <w:basedOn w:val="DefaultParagraphFont"/>
    <w:link w:val="BalloonText"/>
    <w:uiPriority w:val="99"/>
    <w:semiHidden/>
    <w:rsid w:val="00E1472E"/>
    <w:rPr>
      <w:rFonts w:ascii="Tahoma" w:eastAsia="Times New Roman" w:hAnsi="Tahoma" w:cs="Tahoma"/>
      <w:sz w:val="16"/>
      <w:szCs w:val="16"/>
      <w:lang w:val="ro-RO"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418</Words>
  <Characters>2384</Characters>
  <Application>Microsoft Office Word</Application>
  <DocSecurity>0</DocSecurity>
  <Lines>19</Lines>
  <Paragraphs>5</Paragraphs>
  <ScaleCrop>false</ScaleCrop>
  <Company/>
  <LinksUpToDate>false</LinksUpToDate>
  <CharactersWithSpaces>2797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marcela.mazarenco</dc:creator>
  <cp:lastModifiedBy>marcela.mazarenco</cp:lastModifiedBy>
  <cp:revision>1</cp:revision>
  <dcterms:created xsi:type="dcterms:W3CDTF">2019-03-11T09:58:00Z</dcterms:created>
  <dcterms:modified xsi:type="dcterms:W3CDTF">2019-03-11T09:58:00Z</dcterms:modified>
</cp:coreProperties>
</file>